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C0F" w:rsidRPr="00C54256" w:rsidRDefault="00521C0F" w:rsidP="00521C0F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highlight w:val="cyan"/>
        </w:rPr>
      </w:pPr>
      <w:r w:rsidRPr="00C54256">
        <w:rPr>
          <w:rFonts w:ascii="Xunta Sans" w:hAnsi="Xunta Sans"/>
          <w:b/>
          <w:sz w:val="22"/>
          <w:szCs w:val="22"/>
        </w:rPr>
        <w:t>CORPO FACULTATIVO SUPERIOR DE ADMINISTRACIÓN ESPECIAL DA ADMINISTRACIÓN XERAL DA COMUNIDADE AUTÓNOMA DE GALICIA, SUBGRUPO A1, ESCALA DE CIENCIAS, ESPECIALIDADE DE QUÍMICA</w:t>
      </w:r>
      <w:r>
        <w:rPr>
          <w:rFonts w:ascii="Xunta Sans" w:hAnsi="Xunta Sans"/>
          <w:b/>
          <w:sz w:val="22"/>
          <w:szCs w:val="22"/>
        </w:rPr>
        <w:t>. DOG núm. 241, do 17 de decembro de 2021</w:t>
      </w:r>
    </w:p>
    <w:p w:rsidR="00521C0F" w:rsidRDefault="00521C0F" w:rsidP="00521C0F">
      <w:pPr>
        <w:pStyle w:val="Standard"/>
        <w:jc w:val="both"/>
        <w:rPr>
          <w:rFonts w:ascii="Xunta Sans" w:hAnsi="Xunta Sans"/>
          <w:b/>
          <w:sz w:val="22"/>
          <w:szCs w:val="22"/>
          <w:highlight w:val="cyan"/>
        </w:rPr>
      </w:pPr>
    </w:p>
    <w:p w:rsidR="00521C0F" w:rsidRPr="00C54256" w:rsidRDefault="00521C0F" w:rsidP="00521C0F">
      <w:pPr>
        <w:pStyle w:val="Standard"/>
        <w:jc w:val="both"/>
        <w:rPr>
          <w:rFonts w:ascii="Xunta Sans" w:hAnsi="Xunta Sans"/>
          <w:b/>
          <w:sz w:val="22"/>
          <w:szCs w:val="22"/>
        </w:rPr>
      </w:pPr>
    </w:p>
    <w:p w:rsidR="00521C0F" w:rsidRDefault="00521C0F" w:rsidP="00521C0F">
      <w:pPr>
        <w:pStyle w:val="Standard"/>
        <w:numPr>
          <w:ilvl w:val="0"/>
          <w:numId w:val="2"/>
        </w:numPr>
        <w:ind w:left="284" w:hanging="284"/>
        <w:jc w:val="both"/>
        <w:rPr>
          <w:rFonts w:ascii="Xunta Sans" w:hAnsi="Xunta Sans"/>
          <w:b/>
          <w:sz w:val="22"/>
          <w:szCs w:val="22"/>
        </w:rPr>
      </w:pPr>
      <w:r w:rsidRPr="00C54256">
        <w:rPr>
          <w:rFonts w:ascii="Xunta Sans" w:hAnsi="Xunta Sans"/>
          <w:b/>
          <w:sz w:val="22"/>
          <w:szCs w:val="22"/>
        </w:rPr>
        <w:t>Parte común</w:t>
      </w:r>
    </w:p>
    <w:p w:rsidR="00521C0F" w:rsidRDefault="00521C0F" w:rsidP="00521C0F">
      <w:pPr>
        <w:pStyle w:val="Standard"/>
        <w:ind w:left="284"/>
        <w:jc w:val="both"/>
        <w:rPr>
          <w:rFonts w:ascii="Xunta Sans" w:hAnsi="Xunta Sans"/>
          <w:b/>
          <w:sz w:val="22"/>
          <w:szCs w:val="22"/>
        </w:rPr>
      </w:pP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A Constitución española de 1978: título preliminar, título I, artigos 10, 14, 23, capítulo IV e capítulo V e título VIII. </w:t>
      </w: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Lei orgánica 1/1981, do 6 de abril, do Estatuto de autonomía para Galicia: título I, título II e título III. </w:t>
      </w: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IV, capítulo I e capítulo IV e título V. </w:t>
      </w: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Lei 4/2019, do 17 de xullo, da administración dixital de Galicia: título preliminar, título I, capítulo I. </w:t>
      </w: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Lei 40/2015, do 1 de outubro, de réxime xurídico do sector público: título preliminar, capítulos III e IV. </w:t>
      </w: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Lei 16/2010, do 17 de decembro, de organización e funcionamento da Administración xeral e do sector público autonómico: título preliminar, título I. </w:t>
      </w: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7. Lei 2/2015, do 29 de abril, do emprego público de Galicia: título III, título VI capítulos III e IV e título VIII.</w:t>
      </w: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Lei orgánica 3/2018, do 5 de decembro, de protección de datos persoais e garantía dos dereitos dixitais: título I, título II, título III e título VIII. </w:t>
      </w: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9. Decreto lexislativo 2/2015, do 12 de febreiro, polo que se aproba o texto refundido das disposicións legais da Comunidade Autónoma de Galicia en materia de igualdade: título preliminar e título I. E o título I da Lei orgánica 1/2004, do 28 de decembro, de medidas de protección integral contra a violencia de xénero.</w:t>
      </w: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10. Real decreto lexislativo 1/2013, do 29 de novembro, polo que se aproba o texto refundido da Lei xeral de dereitos das persoas con discapacidade e da súa inclusión social: título preliminar e título I.</w:t>
      </w: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Lei 1/2016, do 18 de xaneiro, de transparencia e bo goberno: título preliminar e título I. </w:t>
      </w:r>
    </w:p>
    <w:p w:rsidR="00521C0F" w:rsidRPr="00C75B89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12. Lei 9/2007, do 13 de xaneiro, de subvencións de Galicia. </w:t>
      </w:r>
    </w:p>
    <w:p w:rsidR="00521C0F" w:rsidRDefault="00521C0F" w:rsidP="00521C0F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13. Lei 9/2017, de contratos do sector público, libros I e II.</w:t>
      </w:r>
    </w:p>
    <w:p w:rsidR="00521C0F" w:rsidRPr="00C54256" w:rsidRDefault="00521C0F" w:rsidP="00521C0F">
      <w:pPr>
        <w:pStyle w:val="Standard"/>
        <w:jc w:val="both"/>
        <w:rPr>
          <w:rFonts w:ascii="Xunta Sans" w:hAnsi="Xunta Sans"/>
          <w:b/>
          <w:sz w:val="22"/>
          <w:szCs w:val="22"/>
        </w:rPr>
      </w:pPr>
    </w:p>
    <w:p w:rsidR="00521C0F" w:rsidRPr="00C54256" w:rsidRDefault="00521C0F" w:rsidP="00521C0F">
      <w:pPr>
        <w:pStyle w:val="Standard"/>
        <w:jc w:val="both"/>
        <w:rPr>
          <w:rFonts w:ascii="Xunta Sans" w:hAnsi="Xunta Sans"/>
          <w:b/>
          <w:sz w:val="22"/>
          <w:szCs w:val="22"/>
        </w:rPr>
      </w:pPr>
      <w:r w:rsidRPr="00C54256">
        <w:rPr>
          <w:rFonts w:ascii="Xunta Sans" w:hAnsi="Xunta Sans"/>
          <w:b/>
          <w:sz w:val="22"/>
          <w:szCs w:val="22"/>
        </w:rPr>
        <w:t xml:space="preserve">B) Parte </w:t>
      </w:r>
      <w:r>
        <w:rPr>
          <w:rFonts w:ascii="Xunta Sans" w:hAnsi="Xunta Sans"/>
          <w:b/>
          <w:sz w:val="22"/>
          <w:szCs w:val="22"/>
        </w:rPr>
        <w:t>específica</w:t>
      </w:r>
    </w:p>
    <w:p w:rsidR="00521C0F" w:rsidRPr="002737E5" w:rsidRDefault="00521C0F" w:rsidP="00521C0F">
      <w:pPr>
        <w:pStyle w:val="Standard"/>
        <w:jc w:val="both"/>
        <w:rPr>
          <w:rFonts w:ascii="Xunta Sans" w:hAnsi="Xunta Sans"/>
          <w:b/>
          <w:sz w:val="22"/>
          <w:szCs w:val="22"/>
        </w:rPr>
      </w:pPr>
    </w:p>
    <w:p w:rsidR="00521C0F" w:rsidRPr="00C75B89" w:rsidRDefault="00521C0F" w:rsidP="00521C0F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521C0F" w:rsidRPr="004F5F61" w:rsidRDefault="00521C0F" w:rsidP="00521C0F">
      <w:pPr>
        <w:pStyle w:val="Standard"/>
        <w:numPr>
          <w:ilvl w:val="0"/>
          <w:numId w:val="1"/>
        </w:numPr>
        <w:spacing w:afterLines="140" w:after="336" w:line="360" w:lineRule="auto"/>
        <w:ind w:left="284" w:hanging="284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Análise volumétrica. Volumetrías ácido-base. Volumetrías </w:t>
      </w:r>
      <w:proofErr w:type="spellStart"/>
      <w:r w:rsidRPr="004F5F61">
        <w:rPr>
          <w:rFonts w:ascii="Xunta Sans" w:hAnsi="Xunta Sans"/>
          <w:sz w:val="22"/>
          <w:szCs w:val="22"/>
        </w:rPr>
        <w:t>redox</w:t>
      </w:r>
      <w:proofErr w:type="spellEnd"/>
      <w:r w:rsidRPr="004F5F61">
        <w:rPr>
          <w:rFonts w:ascii="Xunta Sans" w:hAnsi="Xunta Sans"/>
          <w:sz w:val="22"/>
          <w:szCs w:val="22"/>
        </w:rPr>
        <w:t>. Volumetrías de precipitación. Volumetrías de formación de complexos.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2. Gravimetrías. </w:t>
      </w:r>
      <w:proofErr w:type="spellStart"/>
      <w:r w:rsidRPr="004F5F61">
        <w:rPr>
          <w:rFonts w:ascii="Xunta Sans" w:hAnsi="Xunta Sans"/>
          <w:sz w:val="22"/>
          <w:szCs w:val="22"/>
        </w:rPr>
        <w:t>Potenciometrías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4F5F61">
        <w:rPr>
          <w:rFonts w:ascii="Xunta Sans" w:hAnsi="Xunta Sans"/>
          <w:sz w:val="22"/>
          <w:szCs w:val="22"/>
        </w:rPr>
        <w:t>condutimetrías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. Fundamentos, equipamentos e aplicacións. </w:t>
      </w:r>
      <w:proofErr w:type="spellStart"/>
      <w:r w:rsidRPr="004F5F61">
        <w:rPr>
          <w:rFonts w:ascii="Xunta Sans" w:hAnsi="Xunta Sans"/>
          <w:sz w:val="22"/>
          <w:szCs w:val="22"/>
        </w:rPr>
        <w:t>Electrofórese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. Fundamentos, equipamentos e aplicacións. </w:t>
      </w:r>
    </w:p>
    <w:p w:rsidR="00483307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>3. Cromatografía de gases. Principios de operación. Compoñentes básicos. Inxectores: tipos. Columnas: tipos, características, instalación e mantemento. Detectores (, FID, TCD, ECD, PID</w:t>
      </w:r>
      <w:r w:rsidR="00483307">
        <w:rPr>
          <w:rFonts w:ascii="Xunta Sans" w:hAnsi="Xunta Sans"/>
          <w:sz w:val="22"/>
          <w:szCs w:val="22"/>
        </w:rPr>
        <w:t>, MS, MS/MS, HRMS</w:t>
      </w:r>
      <w:r w:rsidRPr="004F5F61">
        <w:rPr>
          <w:rFonts w:ascii="Xunta Sans" w:hAnsi="Xunta Sans"/>
          <w:sz w:val="22"/>
          <w:szCs w:val="22"/>
        </w:rPr>
        <w:t xml:space="preserve">).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4. Cromatografía de líquidos. Principios de operación. Compoñentes básicos. Bombas: tipos. Sistemas de mestura. Inxectores: tipos. Columnas: tipos, características, instalación e mantemento. Detectores (UV-VIS, </w:t>
      </w:r>
      <w:proofErr w:type="spellStart"/>
      <w:r w:rsidRPr="004F5F61">
        <w:rPr>
          <w:rFonts w:ascii="Xunta Sans" w:hAnsi="Xunta Sans"/>
          <w:sz w:val="22"/>
          <w:szCs w:val="22"/>
        </w:rPr>
        <w:t>Fotodiodos</w:t>
      </w:r>
      <w:proofErr w:type="spellEnd"/>
      <w:r w:rsidRPr="004F5F61">
        <w:rPr>
          <w:rFonts w:ascii="Xunta Sans" w:hAnsi="Xunta Sans"/>
          <w:sz w:val="22"/>
          <w:szCs w:val="22"/>
        </w:rPr>
        <w:t>, FL, IR, Condutividade, Electroquímico, MS</w:t>
      </w:r>
      <w:r w:rsidR="00483307">
        <w:rPr>
          <w:rFonts w:ascii="Xunta Sans" w:hAnsi="Xunta Sans"/>
          <w:sz w:val="22"/>
          <w:szCs w:val="22"/>
        </w:rPr>
        <w:t>. MS/MS,</w:t>
      </w:r>
      <w:bookmarkStart w:id="0" w:name="_GoBack"/>
      <w:bookmarkEnd w:id="0"/>
      <w:r w:rsidR="00483307">
        <w:rPr>
          <w:rFonts w:ascii="Xunta Sans" w:hAnsi="Xunta Sans"/>
          <w:sz w:val="22"/>
          <w:szCs w:val="22"/>
        </w:rPr>
        <w:t xml:space="preserve"> HRMS</w:t>
      </w:r>
      <w:r w:rsidRPr="004F5F61">
        <w:rPr>
          <w:rFonts w:ascii="Xunta Sans" w:hAnsi="Xunta Sans"/>
          <w:sz w:val="22"/>
          <w:szCs w:val="22"/>
        </w:rPr>
        <w:t xml:space="preserve">). Fontes de ionización en HPLC-MS. Principios de supresión en cromatografía iónica.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5. Técnicas </w:t>
      </w:r>
      <w:proofErr w:type="spellStart"/>
      <w:r w:rsidRPr="004F5F61">
        <w:rPr>
          <w:rFonts w:ascii="Xunta Sans" w:hAnsi="Xunta Sans"/>
          <w:sz w:val="22"/>
          <w:szCs w:val="22"/>
        </w:rPr>
        <w:t>espectrométricas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: </w:t>
      </w:r>
      <w:proofErr w:type="spellStart"/>
      <w:r w:rsidRPr="004F5F61">
        <w:rPr>
          <w:rFonts w:ascii="Xunta Sans" w:hAnsi="Xunta Sans"/>
          <w:sz w:val="22"/>
          <w:szCs w:val="22"/>
        </w:rPr>
        <w:t>espectrometría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de infravermellos, visible e ultravioleta. Fundamento, equipamentos e aplicacións.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6. </w:t>
      </w:r>
      <w:proofErr w:type="spellStart"/>
      <w:r w:rsidRPr="004F5F61">
        <w:rPr>
          <w:rFonts w:ascii="Xunta Sans" w:hAnsi="Xunta Sans"/>
          <w:sz w:val="22"/>
          <w:szCs w:val="22"/>
        </w:rPr>
        <w:t>Espectrometría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de absorción e emisión atómica. Chama. Cámara de grafito. Xerador de hidruros. Principios de operación e compoñentes básicos de cada un dos sistemas.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7. </w:t>
      </w:r>
      <w:proofErr w:type="spellStart"/>
      <w:r w:rsidRPr="004F5F61">
        <w:rPr>
          <w:rFonts w:ascii="Xunta Sans" w:hAnsi="Xunta Sans"/>
          <w:sz w:val="22"/>
          <w:szCs w:val="22"/>
        </w:rPr>
        <w:t>Espectrometría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de plasma de </w:t>
      </w:r>
      <w:proofErr w:type="spellStart"/>
      <w:r w:rsidRPr="004F5F61">
        <w:rPr>
          <w:rFonts w:ascii="Xunta Sans" w:hAnsi="Xunta Sans"/>
          <w:sz w:val="22"/>
          <w:szCs w:val="22"/>
        </w:rPr>
        <w:t>acoplamento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indutivo (ICP-AES e ICP-MS). Principios de operación. Sistemas de introdución de mostra: tipos de nebulizadores, tipos de cámaras de nebulización. Características dun plasma, o facho. </w:t>
      </w:r>
      <w:proofErr w:type="spellStart"/>
      <w:r w:rsidRPr="004F5F61">
        <w:rPr>
          <w:rFonts w:ascii="Xunta Sans" w:hAnsi="Xunta Sans"/>
          <w:sz w:val="22"/>
          <w:szCs w:val="22"/>
        </w:rPr>
        <w:t>Interfase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e óptica: xeneralidades. Detectores: tipos. Interferencias en ICP-AES e ICP-MS: tipos, tratamento.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8. Métodos analíticos baseados en </w:t>
      </w:r>
      <w:proofErr w:type="spellStart"/>
      <w:r w:rsidRPr="004F5F61">
        <w:rPr>
          <w:rFonts w:ascii="Xunta Sans" w:hAnsi="Xunta Sans"/>
          <w:sz w:val="22"/>
          <w:szCs w:val="22"/>
        </w:rPr>
        <w:t>inmunoanálises</w:t>
      </w:r>
      <w:proofErr w:type="spellEnd"/>
      <w:r w:rsidRPr="004F5F61">
        <w:rPr>
          <w:rFonts w:ascii="Xunta Sans" w:hAnsi="Xunta Sans"/>
          <w:sz w:val="22"/>
          <w:szCs w:val="22"/>
        </w:rPr>
        <w:t>. Fundamento. Tipos. Compoñentes básicos dos equipos. Aplicacións.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lastRenderedPageBreak/>
        <w:t xml:space="preserve">9. Sistema de calidade baseado na norma UNE-EN ISO/IEC 17025: manual de calidade, control de cambios, cualificación do persoal, calibración, control e mantementos de equipamentos, inventarios e fichas de equipo, auditorías, accións correctivas e preventivas, </w:t>
      </w:r>
      <w:proofErr w:type="spellStart"/>
      <w:r w:rsidRPr="004F5F61">
        <w:rPr>
          <w:rFonts w:ascii="Xunta Sans" w:hAnsi="Xunta Sans"/>
          <w:sz w:val="22"/>
          <w:szCs w:val="22"/>
        </w:rPr>
        <w:t>rastrexabilidade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, informes de ensaio.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10. Sistema de calidade baseado na norma UNE-EN ISO/IEC 17025: métodos de ensaio e calibración, validación de métodos, control de calidade, precisión e exactitude, </w:t>
      </w:r>
      <w:proofErr w:type="spellStart"/>
      <w:r w:rsidRPr="004F5F61">
        <w:rPr>
          <w:rFonts w:ascii="Xunta Sans" w:hAnsi="Xunta Sans"/>
          <w:sz w:val="22"/>
          <w:szCs w:val="22"/>
        </w:rPr>
        <w:t>reproducibilidade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e </w:t>
      </w:r>
      <w:proofErr w:type="spellStart"/>
      <w:r w:rsidRPr="004F5F61">
        <w:rPr>
          <w:rFonts w:ascii="Xunta Sans" w:hAnsi="Xunta Sans"/>
          <w:sz w:val="22"/>
          <w:szCs w:val="22"/>
        </w:rPr>
        <w:t>repetibilidade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, límites de confianza, cálculo de incertezas, patróns e materiais de referencia, ensaios </w:t>
      </w:r>
      <w:proofErr w:type="spellStart"/>
      <w:r w:rsidRPr="004F5F61">
        <w:rPr>
          <w:rFonts w:ascii="Xunta Sans" w:hAnsi="Xunta Sans"/>
          <w:sz w:val="22"/>
          <w:szCs w:val="22"/>
        </w:rPr>
        <w:t>interlaboratorio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11. Regulamentos REACH e CLP: características de perigo dos produtos químicos, criterios de clasificación de substancias e mesturas químicas, mecanismos de información: etiquetas, fichas de datos de seguridade; restricións de fabricación, comercialización e uso de substancias perigosas.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12. Toxicoloxía industrial: criterios de valoración de axentes químicos. Valores límites ambientais (VLA): definición e directrices para a avaliación da exposición por inhalación de axentes químicos. Valoración por comparación co VLA de exposición diaria VLA-ED e de exposicións curtas VLA-EC. Medicións periódicas de control. Valores límites biolóxicos (VLB): definición, características e métodos de control.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13. O Real decreto 374/2001 sobre riscos relacionados cos axentes químicos durante o traballo: avaliación dos riscos, medidas de prevención xerais e específicas, medidas para adoptar fronte a accidentes, incidentes e emerxencias. Real decreto 665/1997 sobre a protección dos traballadores contra os riscos relacionados coa exposición a axentes canceríxenos e mutáxenos durante o traballo: identificación e avaliación da exposición a </w:t>
      </w:r>
      <w:proofErr w:type="spellStart"/>
      <w:r w:rsidRPr="004F5F61">
        <w:rPr>
          <w:rFonts w:ascii="Xunta Sans" w:hAnsi="Xunta Sans"/>
          <w:sz w:val="22"/>
          <w:szCs w:val="22"/>
        </w:rPr>
        <w:t>carcinóxenos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, prevención e redución da exposición.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14. Laboratorios químicos: riscos específicos hixiénicos e de seguridade. Consideracións relativas á estrutura, deseño e distribución dos laboratorios. Consideracións sobre seguridade relativas a instalacións e aparellos. Consideracións sobre operacións comúns. Equipamentos de seguridade: elementos de protección e de actuación. Xestión dos residuos no laboratorio: normas xerais de manipulación de residuos, programa de xestión de residuos no laboratorio: sistema de recollida; clasificación e eliminación de residuos; envasado e etiquetaxe; almacenamento temporal.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lastRenderedPageBreak/>
        <w:t xml:space="preserve">15. Control das exposicións a riscos químicos (hixiénicos e de seguridade). Técnicas xerais. Accións de control técnicas. Accións de control organizativas. </w:t>
      </w:r>
      <w:proofErr w:type="spellStart"/>
      <w:r w:rsidRPr="004F5F61">
        <w:rPr>
          <w:rFonts w:ascii="Xunta Sans" w:hAnsi="Xunta Sans"/>
          <w:sz w:val="22"/>
          <w:szCs w:val="22"/>
        </w:rPr>
        <w:t>Priorización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do control de riscos. Accións sobre o axente. Accións sobre o proceso. Accións no local de traballo. Accións nos métodos de traballo.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16. Avaliación e control de riscos químicos (hixiénicos e de seguridade) de carácter específico: clasificación de áreas e medidas de control de atmosferas explosivas. Documento de seguridade en atmosferas explosivas. Riscos químicos no manexo de fertilizantes. Riscos toxicolóxicos dos principais grupos de </w:t>
      </w:r>
      <w:proofErr w:type="spellStart"/>
      <w:r w:rsidRPr="004F5F61">
        <w:rPr>
          <w:rFonts w:ascii="Xunta Sans" w:hAnsi="Xunta Sans"/>
          <w:sz w:val="22"/>
          <w:szCs w:val="22"/>
        </w:rPr>
        <w:t>praguicidas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. Riscos específicos nas operacións en viveiros e invernadoiros.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17. Toma de mostras para análise química: importancia nos resultados das análises. Representatividade das mostras. Distintos procedementos de toma de mostras. Conservación e preparación de mostras para análise química. Homoxeneización e redución do tamaño da mostra. Conservación dos diferentes tipos de mostras segundo as determinacións que se van realizar.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18. Análise química dos diferentes tipos de forraxes: determinación do valor nutritivo. Estado de conservación dos ensilados: determinacións analíticas para a súa avaliación.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19. Composición química dos pensos. Análises básicas para a determinación do seu valor nutritivo. Outros compoñentes: hidratos de carbono, fósforo, calcio, cobre, urea, cloruros. Fundamentos dos métodos de análise. Análise micrográfica. Compoñentes tóxicos en pensos: fundamentos dos métodos de análise de </w:t>
      </w:r>
      <w:proofErr w:type="spellStart"/>
      <w:r w:rsidRPr="004F5F61">
        <w:rPr>
          <w:rFonts w:ascii="Xunta Sans" w:hAnsi="Xunta Sans"/>
          <w:sz w:val="22"/>
          <w:szCs w:val="22"/>
        </w:rPr>
        <w:t>aflatoxinas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, nitratos, nitritos, metais pesados e arsénico.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20. Aceites e graxas. Parámetros determinantes da calidade e pureza. Fundamentos ou principios dos métodos físico-químicos para a identificación dos aceites e os seus compoñentes máis importantes.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>21. Carnes e produtos cárnicos. Fundamentos ou principios dos métodos de análises químicos dos parámetros máis importantes.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22. Produtos en conserva: conservas e semiconservas de peixe, conservas vexetais. Fundamentos ou principios dos métodos de análise físico-químicos dos parámetros máis importantes.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lastRenderedPageBreak/>
        <w:t xml:space="preserve">23. O viño: automatización da análise de viños-Analizadores FTIR. Constitución ácida e </w:t>
      </w:r>
      <w:proofErr w:type="spellStart"/>
      <w:r w:rsidRPr="004F5F61">
        <w:rPr>
          <w:rFonts w:ascii="Xunta Sans" w:hAnsi="Xunta Sans"/>
          <w:sz w:val="22"/>
          <w:szCs w:val="22"/>
        </w:rPr>
        <w:t>glicídica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das uvas e dos viños e a súa análise. Compostos </w:t>
      </w:r>
      <w:proofErr w:type="spellStart"/>
      <w:r w:rsidRPr="004F5F61">
        <w:rPr>
          <w:rFonts w:ascii="Xunta Sans" w:hAnsi="Xunta Sans"/>
          <w:sz w:val="22"/>
          <w:szCs w:val="22"/>
        </w:rPr>
        <w:t>fenólicos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das uvas e dos viños e principios das análises. Compoñentes volátiles das uvas e dos viños e a súa análise. Composición mineral dos viños e a súa análise.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24. Os destilados: normativa relativa á súa definición (Regulamento CE 110/2008). Composición química dos augardentes. Fundamentos das análises de augardentes (OIV, CE).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25. Cervexas: tipoloxías e características principais. Fundamentos das análises máis características. Vinagres: tipoloxías e características principais. Determinacións máis características.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>26. Directiva marco da auga: calidade das augas. Estado químico e estado ecolóxico das augas. Analíticas que hai que efectuar para definir o estado ecolóxico das augas.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27. Análises de augas superficiais e subterráneas. Calidade das augas superficiais. Indicadores de calidade para a clasificación e seguimento do estado. Redes de control e seguimento. Requirimentos de calidade analítica.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28. Analítica de augas residuais e industrias de vertedura ao dominio público hidráulico (DPH) e ao dominio público marítimo (DPM). Parámetros característicos de vertedura e valores límites de vertedura. Obxectivos de calidade do medio receptor.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29. Analítica de solos contaminados, de </w:t>
      </w:r>
      <w:proofErr w:type="spellStart"/>
      <w:r w:rsidRPr="004F5F61">
        <w:rPr>
          <w:rFonts w:ascii="Xunta Sans" w:hAnsi="Xunta Sans"/>
          <w:sz w:val="22"/>
          <w:szCs w:val="22"/>
        </w:rPr>
        <w:t>tecnosolos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e de lodos de EDAR. </w:t>
      </w:r>
      <w:proofErr w:type="spellStart"/>
      <w:r w:rsidRPr="004F5F61">
        <w:rPr>
          <w:rFonts w:ascii="Xunta Sans" w:hAnsi="Xunta Sans"/>
          <w:sz w:val="22"/>
          <w:szCs w:val="22"/>
        </w:rPr>
        <w:t>Analitos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 para ter en conta; fundamentos dos métodos de análises.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30. Leite e produtos lácteos. Composición. Tipos. Fundamentos ou principios dos métodos de análises químicos, dos principais compoñentes.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31. Análises de produtos </w:t>
      </w:r>
      <w:proofErr w:type="spellStart"/>
      <w:r w:rsidRPr="004F5F61">
        <w:rPr>
          <w:rFonts w:ascii="Xunta Sans" w:hAnsi="Xunta Sans"/>
          <w:sz w:val="22"/>
          <w:szCs w:val="22"/>
        </w:rPr>
        <w:t>fitosanitarios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. Concepto. Clasificación. Persistencia e toxicidade. Efectos sobre a saúde humana e o medio. Plans de control de residuos de produtos </w:t>
      </w:r>
      <w:proofErr w:type="spellStart"/>
      <w:r w:rsidRPr="004F5F61">
        <w:rPr>
          <w:rFonts w:ascii="Xunta Sans" w:hAnsi="Xunta Sans"/>
          <w:sz w:val="22"/>
          <w:szCs w:val="22"/>
        </w:rPr>
        <w:t>fitosanitarios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. Problemática xeral da análise de residuos de </w:t>
      </w:r>
      <w:proofErr w:type="spellStart"/>
      <w:r w:rsidRPr="004F5F61">
        <w:rPr>
          <w:rFonts w:ascii="Xunta Sans" w:hAnsi="Xunta Sans"/>
          <w:sz w:val="22"/>
          <w:szCs w:val="22"/>
        </w:rPr>
        <w:t>pesticidas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. Métodos de preparación de mostras e análises.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lastRenderedPageBreak/>
        <w:t xml:space="preserve">32. O solo: textura e estrutura, o </w:t>
      </w:r>
      <w:proofErr w:type="spellStart"/>
      <w:r w:rsidRPr="004F5F61">
        <w:rPr>
          <w:rFonts w:ascii="Xunta Sans" w:hAnsi="Xunta Sans"/>
          <w:sz w:val="22"/>
          <w:szCs w:val="22"/>
        </w:rPr>
        <w:t>pH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, a acidez e as necesidades de cal, o complexo de cambio, nutrientes principais no solo, relación C/N, materia orgánica, utilización das análises de solo para a determinación da fertilidade.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33. Fundamentos ou principios dos métodos de análise de solo: textura, densidade, humidade, </w:t>
      </w:r>
      <w:proofErr w:type="spellStart"/>
      <w:r w:rsidRPr="004F5F61">
        <w:rPr>
          <w:rFonts w:ascii="Xunta Sans" w:hAnsi="Xunta Sans"/>
          <w:sz w:val="22"/>
          <w:szCs w:val="22"/>
        </w:rPr>
        <w:t>pH</w:t>
      </w:r>
      <w:proofErr w:type="spellEnd"/>
      <w:r w:rsidRPr="004F5F61">
        <w:rPr>
          <w:rFonts w:ascii="Xunta Sans" w:hAnsi="Xunta Sans"/>
          <w:sz w:val="22"/>
          <w:szCs w:val="22"/>
        </w:rPr>
        <w:t xml:space="preserve">, condutividade eléctrica, carbono, nitróxeno (Ca, Mg, Na e K asimilables), oligoelementos, fósforo asimilable, acidez do solo, materia orgánica, carbonatos, análise foliar para a determinación da fertilidade.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 xml:space="preserve">34. Fertilizantes inorgánicos e emendas. Real decreto 506/2013 sobre produtos fertilizantes e Regulamento (CE) 2003/2003 relativo aos fertilizantes: definicións, fundamentos da súa clasificación, fundamentos ou principios dos métodos de análise físico-química. </w:t>
      </w:r>
    </w:p>
    <w:p w:rsidR="00521C0F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4F5F61">
        <w:rPr>
          <w:rFonts w:ascii="Xunta Sans" w:hAnsi="Xunta Sans"/>
          <w:sz w:val="22"/>
          <w:szCs w:val="22"/>
        </w:rPr>
        <w:t>35. Fertilizantes orgánicos e órgano-minerais. Real decreto 506/2013 sobre produtos fertilizantes: definicións, fundamentos da súa clasificación, fundamentos ou principios dos métodos de análise físico-química.</w:t>
      </w:r>
    </w:p>
    <w:p w:rsidR="00521C0F" w:rsidRPr="006F5346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6F5346">
        <w:rPr>
          <w:rFonts w:ascii="Xunta Sans" w:hAnsi="Xunta Sans"/>
          <w:sz w:val="22"/>
          <w:szCs w:val="22"/>
        </w:rPr>
        <w:t>36. Substratos. Real decreto 865/2010, do 2 de xullo, sobre substratos de cultivo: definicións, fundamentos da súa clasificación, fundamentos ou principios dos métodos de análise físico-química.</w:t>
      </w:r>
    </w:p>
    <w:p w:rsidR="00521C0F" w:rsidRPr="006F5346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6F5346">
        <w:rPr>
          <w:rFonts w:ascii="Xunta Sans" w:hAnsi="Xunta Sans"/>
          <w:sz w:val="22"/>
          <w:szCs w:val="22"/>
        </w:rPr>
        <w:t xml:space="preserve">37. Distribución de competencias en materia de augas na Comunidade Autónoma de Galicia. Competencias en materia de abastecemento, saneamento e depuración de augas residuais. Demarcacións hidrográficas de Galicia. Plan hidrolóxico Galicia-Costa. </w:t>
      </w:r>
    </w:p>
    <w:p w:rsidR="00521C0F" w:rsidRPr="006F5346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6F5346">
        <w:rPr>
          <w:rFonts w:ascii="Xunta Sans" w:hAnsi="Xunta Sans"/>
          <w:sz w:val="22"/>
          <w:szCs w:val="22"/>
        </w:rPr>
        <w:t xml:space="preserve">38. Tratamento de augas residuais: </w:t>
      </w:r>
      <w:proofErr w:type="spellStart"/>
      <w:r w:rsidRPr="006F5346">
        <w:rPr>
          <w:rFonts w:ascii="Xunta Sans" w:hAnsi="Xunta Sans"/>
          <w:sz w:val="22"/>
          <w:szCs w:val="22"/>
        </w:rPr>
        <w:t>pretratamento</w:t>
      </w:r>
      <w:proofErr w:type="spellEnd"/>
      <w:r w:rsidRPr="006F5346">
        <w:rPr>
          <w:rFonts w:ascii="Xunta Sans" w:hAnsi="Xunta Sans"/>
          <w:sz w:val="22"/>
          <w:szCs w:val="22"/>
        </w:rPr>
        <w:t xml:space="preserve">, tratamento primario, tratamento secundario, tratamento terciario. Tratamento dos lodos de depuración das augas residuais urbanas e de industrias </w:t>
      </w:r>
      <w:proofErr w:type="spellStart"/>
      <w:r w:rsidRPr="006F5346">
        <w:rPr>
          <w:rFonts w:ascii="Xunta Sans" w:hAnsi="Xunta Sans"/>
          <w:sz w:val="22"/>
          <w:szCs w:val="22"/>
        </w:rPr>
        <w:t>agroalimentarias</w:t>
      </w:r>
      <w:proofErr w:type="spellEnd"/>
      <w:r w:rsidRPr="006F5346">
        <w:rPr>
          <w:rFonts w:ascii="Xunta Sans" w:hAnsi="Xunta Sans"/>
          <w:sz w:val="22"/>
          <w:szCs w:val="22"/>
        </w:rPr>
        <w:t xml:space="preserve">. Usos destes lodos. </w:t>
      </w:r>
    </w:p>
    <w:p w:rsidR="00521C0F" w:rsidRPr="006F5346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6F5346">
        <w:rPr>
          <w:rFonts w:ascii="Xunta Sans" w:hAnsi="Xunta Sans"/>
          <w:sz w:val="22"/>
          <w:szCs w:val="22"/>
        </w:rPr>
        <w:t xml:space="preserve">39. Lei 1/1995 de protección ambiental de Galicia: a inspección ambiental. As avaliacións de impacto ambiental e de plans e programas. Lei 9/2013, de </w:t>
      </w:r>
      <w:proofErr w:type="spellStart"/>
      <w:r w:rsidRPr="006F5346">
        <w:rPr>
          <w:rFonts w:ascii="Xunta Sans" w:hAnsi="Xunta Sans"/>
          <w:sz w:val="22"/>
          <w:szCs w:val="22"/>
        </w:rPr>
        <w:t>emprendemento</w:t>
      </w:r>
      <w:proofErr w:type="spellEnd"/>
      <w:r w:rsidRPr="006F5346">
        <w:rPr>
          <w:rFonts w:ascii="Xunta Sans" w:hAnsi="Xunta Sans"/>
          <w:sz w:val="22"/>
          <w:szCs w:val="22"/>
        </w:rPr>
        <w:t xml:space="preserve"> e de competitividade económica de Galicia: avaliación ambiental de actividades. </w:t>
      </w:r>
    </w:p>
    <w:p w:rsidR="00521C0F" w:rsidRPr="006F5346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6F5346">
        <w:rPr>
          <w:rFonts w:ascii="Xunta Sans" w:hAnsi="Xunta Sans"/>
          <w:sz w:val="22"/>
          <w:szCs w:val="22"/>
        </w:rPr>
        <w:lastRenderedPageBreak/>
        <w:t xml:space="preserve">40. A prevención e control integrado da contaminación: a Lei 6/1992 e a Lei 5/2013. Actividades que están suxeitas a este procedemento; a autorización ambiental integrada; os valores límites de emisión (VLE); as mellores técnicas dispoñibles; a información e sistemas de comunicación das actividades IPPC; o control ambiental destas instalacións IPPC. O rexistro europeo PRTR. </w:t>
      </w:r>
    </w:p>
    <w:p w:rsidR="00521C0F" w:rsidRPr="006F5346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6F5346">
        <w:rPr>
          <w:rFonts w:ascii="Xunta Sans" w:hAnsi="Xunta Sans"/>
          <w:sz w:val="22"/>
          <w:szCs w:val="22"/>
        </w:rPr>
        <w:t xml:space="preserve">41. Lei 22/2011, do 28 de xullo, de residuos e solos contaminados. Diferentes tipos de residuos. A xerarquía dos residuos. Tratamentos. Subprodutos. Códigos LER. Produtores e xestores. A </w:t>
      </w:r>
      <w:proofErr w:type="spellStart"/>
      <w:r w:rsidRPr="006F5346">
        <w:rPr>
          <w:rFonts w:ascii="Xunta Sans" w:hAnsi="Xunta Sans"/>
          <w:sz w:val="22"/>
          <w:szCs w:val="22"/>
        </w:rPr>
        <w:t>rastrexabilidade</w:t>
      </w:r>
      <w:proofErr w:type="spellEnd"/>
      <w:r w:rsidRPr="006F5346">
        <w:rPr>
          <w:rFonts w:ascii="Xunta Sans" w:hAnsi="Xunta Sans"/>
          <w:sz w:val="22"/>
          <w:szCs w:val="22"/>
        </w:rPr>
        <w:t xml:space="preserve"> dos residuos. Traslados. Autorizacións administrativas. </w:t>
      </w:r>
    </w:p>
    <w:p w:rsidR="00521C0F" w:rsidRPr="006F5346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6F5346">
        <w:rPr>
          <w:rFonts w:ascii="Xunta Sans" w:hAnsi="Xunta Sans"/>
          <w:sz w:val="22"/>
          <w:szCs w:val="22"/>
        </w:rPr>
        <w:t xml:space="preserve">42. Calidade dos solos e das augas subterráneas. Redes de control e seguimento. Declaración de solos contaminados. Actividades potencialmente contaminantes de solos. Técnicas de </w:t>
      </w:r>
      <w:proofErr w:type="spellStart"/>
      <w:r w:rsidRPr="006F5346">
        <w:rPr>
          <w:rFonts w:ascii="Xunta Sans" w:hAnsi="Xunta Sans"/>
          <w:sz w:val="22"/>
          <w:szCs w:val="22"/>
        </w:rPr>
        <w:t>descontaminación</w:t>
      </w:r>
      <w:proofErr w:type="spellEnd"/>
      <w:r w:rsidRPr="006F5346">
        <w:rPr>
          <w:rFonts w:ascii="Xunta Sans" w:hAnsi="Xunta Sans"/>
          <w:sz w:val="22"/>
          <w:szCs w:val="22"/>
        </w:rPr>
        <w:t xml:space="preserve"> e recuperación de solos contaminados. </w:t>
      </w:r>
    </w:p>
    <w:p w:rsidR="00521C0F" w:rsidRPr="006F5346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6F5346">
        <w:rPr>
          <w:rFonts w:ascii="Xunta Sans" w:hAnsi="Xunta Sans"/>
          <w:sz w:val="22"/>
          <w:szCs w:val="22"/>
        </w:rPr>
        <w:t xml:space="preserve">43. Calidade do aire. Redes de control de calidade do aire. Equipamentos automáticos de medida de contaminantes no aire ambiente. Toma de mostras e caracterización da composición do material </w:t>
      </w:r>
      <w:proofErr w:type="spellStart"/>
      <w:r w:rsidRPr="006F5346">
        <w:rPr>
          <w:rFonts w:ascii="Xunta Sans" w:hAnsi="Xunta Sans"/>
          <w:sz w:val="22"/>
          <w:szCs w:val="22"/>
        </w:rPr>
        <w:t>particulado</w:t>
      </w:r>
      <w:proofErr w:type="spellEnd"/>
      <w:r w:rsidRPr="006F5346">
        <w:rPr>
          <w:rFonts w:ascii="Xunta Sans" w:hAnsi="Xunta Sans"/>
          <w:sz w:val="22"/>
          <w:szCs w:val="22"/>
        </w:rPr>
        <w:t xml:space="preserve"> do aire ambiente. </w:t>
      </w:r>
    </w:p>
    <w:p w:rsidR="00521C0F" w:rsidRPr="006F5346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6F5346">
        <w:rPr>
          <w:rFonts w:ascii="Xunta Sans" w:hAnsi="Xunta Sans"/>
          <w:sz w:val="22"/>
          <w:szCs w:val="22"/>
        </w:rPr>
        <w:t>44. Actividades potencialmente contaminadoras da atmosfera: rexistro destas actividades en Galicia: Regade-</w:t>
      </w:r>
      <w:proofErr w:type="spellStart"/>
      <w:r w:rsidRPr="006F5346">
        <w:rPr>
          <w:rFonts w:ascii="Xunta Sans" w:hAnsi="Xunta Sans"/>
          <w:sz w:val="22"/>
          <w:szCs w:val="22"/>
        </w:rPr>
        <w:t>Capca</w:t>
      </w:r>
      <w:proofErr w:type="spellEnd"/>
      <w:r w:rsidRPr="006F5346">
        <w:rPr>
          <w:rFonts w:ascii="Xunta Sans" w:hAnsi="Xunta Sans"/>
          <w:sz w:val="22"/>
          <w:szCs w:val="22"/>
        </w:rPr>
        <w:t>. Control de emisións á atmosfera. Sistemas automáticos de medida de contaminantes nos focos emisores á atmosfera. Avaliación do cumprimento dos valores límite de emisión.</w:t>
      </w:r>
    </w:p>
    <w:p w:rsidR="00521C0F" w:rsidRPr="006F5346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6F5346">
        <w:rPr>
          <w:rFonts w:ascii="Xunta Sans" w:hAnsi="Xunta Sans"/>
          <w:sz w:val="22"/>
          <w:szCs w:val="22"/>
        </w:rPr>
        <w:t xml:space="preserve">45. A responsabilidade ambiental. Operadores afectados pola normativa de responsabilidade ambiental. A garantía financeira obrigatoria. Análises de riscos ambientais. Dano significativo ambiental: formas de avaliación. Medidas reparadoras primarias; medidas compensatorias e medidas complementarias. </w:t>
      </w:r>
    </w:p>
    <w:p w:rsidR="00521C0F" w:rsidRPr="004F5F61" w:rsidRDefault="00521C0F" w:rsidP="00521C0F">
      <w:pPr>
        <w:pStyle w:val="Standard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6F5346">
        <w:rPr>
          <w:rFonts w:ascii="Xunta Sans" w:hAnsi="Xunta Sans"/>
          <w:sz w:val="22"/>
          <w:szCs w:val="22"/>
        </w:rPr>
        <w:t xml:space="preserve">46. Riscos industriais no sector químico: normativa europea (Directiva </w:t>
      </w:r>
      <w:proofErr w:type="spellStart"/>
      <w:r w:rsidRPr="006F5346">
        <w:rPr>
          <w:rFonts w:ascii="Xunta Sans" w:hAnsi="Xunta Sans"/>
          <w:sz w:val="22"/>
          <w:szCs w:val="22"/>
        </w:rPr>
        <w:t>Seveso</w:t>
      </w:r>
      <w:proofErr w:type="spellEnd"/>
      <w:r w:rsidRPr="006F5346">
        <w:rPr>
          <w:rFonts w:ascii="Xunta Sans" w:hAnsi="Xunta Sans"/>
          <w:sz w:val="22"/>
          <w:szCs w:val="22"/>
        </w:rPr>
        <w:t>), española e galega aplicable. Directriz básica de risco químico. Os plans de emerxencia exterior: a súa estrutura e empresas afectadas en Galicia</w:t>
      </w:r>
    </w:p>
    <w:p w:rsidR="00240CDD" w:rsidRDefault="00240CDD"/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F2C77"/>
    <w:multiLevelType w:val="hybridMultilevel"/>
    <w:tmpl w:val="EA44BB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D2E5F"/>
    <w:multiLevelType w:val="hybridMultilevel"/>
    <w:tmpl w:val="6562E4F6"/>
    <w:lvl w:ilvl="0" w:tplc="B2A4E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C0F"/>
    <w:rsid w:val="00076E56"/>
    <w:rsid w:val="00240CDD"/>
    <w:rsid w:val="00483307"/>
    <w:rsid w:val="00521C0F"/>
    <w:rsid w:val="007063B2"/>
    <w:rsid w:val="00B74A6F"/>
    <w:rsid w:val="00E8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30F3E-B4EE-4DDB-8E38-636536BC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521C0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2124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3</cp:revision>
  <dcterms:created xsi:type="dcterms:W3CDTF">2022-11-11T12:27:00Z</dcterms:created>
  <dcterms:modified xsi:type="dcterms:W3CDTF">2022-11-11T13:30:00Z</dcterms:modified>
</cp:coreProperties>
</file>